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148"/>
        <w:gridCol w:w="1986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金宴仲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浙江省幼儿园课程改革第五次研讨会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日---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月27日，我有幸参加了</w:t>
            </w:r>
            <w:r>
              <w:rPr>
                <w:rFonts w:hint="eastAsia"/>
                <w:sz w:val="24"/>
                <w:szCs w:val="24"/>
                <w:lang w:eastAsia="zh-CN"/>
              </w:rPr>
              <w:t>浙江省幼儿园课程改革的</w:t>
            </w:r>
            <w:r>
              <w:rPr>
                <w:rFonts w:hint="eastAsia"/>
                <w:sz w:val="24"/>
                <w:szCs w:val="24"/>
              </w:rPr>
              <w:t>学习，感谢这次</w:t>
            </w:r>
            <w:r>
              <w:rPr>
                <w:rFonts w:hint="eastAsia"/>
                <w:sz w:val="24"/>
                <w:szCs w:val="24"/>
                <w:lang w:eastAsia="zh-CN"/>
              </w:rPr>
              <w:t>学习</w:t>
            </w:r>
            <w:r>
              <w:rPr>
                <w:rFonts w:hint="eastAsia"/>
                <w:sz w:val="24"/>
                <w:szCs w:val="24"/>
              </w:rPr>
              <w:t>，经过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这次的</w:t>
            </w:r>
            <w:r>
              <w:rPr>
                <w:rFonts w:hint="eastAsia"/>
                <w:sz w:val="24"/>
                <w:szCs w:val="24"/>
              </w:rPr>
              <w:t>培训，我觉的自己无论在思想上，还是在理论上，都有许多的提升；无论在教育上，还是在教学上，都有许多的收获。对照自己以往的工作，我感到还有许多不足，还有许多有待改进的地方。值此在培训之际，来谈一谈自己的想法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教育教学方面“幼儿园教育给孩子带来了什么?”这是</w:t>
            </w: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  <w:r>
              <w:rPr>
                <w:rFonts w:hint="eastAsia"/>
                <w:sz w:val="24"/>
                <w:szCs w:val="24"/>
              </w:rPr>
              <w:t>讲座中的一句话。这句话让我记忆深刻，也让我认真地反思了自己以往的教育教学。我们以往过于关注孩子的知识、技能的掌握，简单地认为认认真真上好每一节课，便能搞好教育教学。其实则不然，因为幼儿园真正要给孩子良好的行为习惯，良好的规则意识，良好的成长状态。让他们成为身体健康、性格阳光、受人欢迎的人；成为坚强勇敢、自我节制、自我管理的人；成为能保持持续的学习兴趣，养成好习惯的人。这次</w:t>
            </w:r>
            <w:r>
              <w:rPr>
                <w:rFonts w:hint="eastAsia"/>
                <w:sz w:val="24"/>
                <w:szCs w:val="24"/>
                <w:lang w:eastAsia="zh-CN"/>
              </w:rPr>
              <w:t>培训</w:t>
            </w:r>
            <w:r>
              <w:rPr>
                <w:rFonts w:hint="eastAsia"/>
                <w:sz w:val="24"/>
                <w:szCs w:val="24"/>
              </w:rPr>
              <w:t>中不仅讲到了学前教育课程改革发展趋势和中国学前教育发展概况，亦提到了学前教育大发展带来的问题，也提到了教师教学方面的问题，通过这些使我意识到作为幼教工作者必须与时俱进，坚持学习，勤于研究，善于发现，才能胜任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只有这样我们才能在研究中发现，在学习中进步，才能把组织交给的幼教工作干好、干出色。于是这又让我感到：从事幼儿教育工作不仅仅是使命光荣，而且也责任重大.让我充分认识到：作为一名幼儿教师，必须要加强自身的文化修养，培养良好的人文精神。在日常工作中，要搞好教师的“教”与幼儿的“学”的关系，从“以幼儿为本的幼教，适应社会的幼教"出发，备课从孩子的实际出发，重视示范作用，作好表率，搞好直观教学，用全新、科学、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时代相吻合的教育理念、方式、方法来更新自己的头脑，实现教育的理想目标。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这次学习</w:t>
            </w:r>
            <w:r>
              <w:rPr>
                <w:rFonts w:hint="eastAsia"/>
                <w:sz w:val="24"/>
                <w:szCs w:val="24"/>
              </w:rPr>
              <w:t>让我收获了快乐，收获了知识，收获了希望。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结束了，新的工作开始了，作为一名教师，此次培训我深刻体会到，在新的时代和新的教育背景下，只有进一步跟新教育观念，改进教育方法、教学行为和教学手段，扩大知识面，完善知识结构，从实践中学习，在反思中进步，提高专业化水平才是我们成长的途径和最大的收获。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918A6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2020-12-21T00:26:57Z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