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104"/>
        <w:gridCol w:w="1975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rPr>
                <w:rFonts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王璐瑶</w:t>
            </w:r>
          </w:p>
        </w:tc>
        <w:tc>
          <w:tcPr>
            <w:tcW w:w="197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2021.6.8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学习内容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《温州市幼儿园先进教研组现场答辩活动》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ind w:left="0" w:leftChars="0" w:firstLine="0" w:firstLineChars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幼儿园先进教研组评审答辩活动中，幼儿教师又经历了一次观念更新—实践反思——自我成长的重大洗礼，开始并注重教育反思成为我们在实践中的最大收获，有力地推动了我园教研活动的进一步开展。广大教师在活动中不断思考、审视、反省、判断、分析、总结，不断调整教育行为，自身素质有了明显提高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每学期班级教育总结时，我们要求教师对教材中有难于把握或有困惑的问题都写在上面，以便在来年用“一课多研”的方法解决，即“一个内容，多人讲或一个内容一人多次讲”。我们把课后的研讨作为重点，使每个教师在讨论中，找到解决的办法和对策，有效地促进了教师间的学习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“一课多研”比以前由指定教师承担的观摩课和示范课更能起到示范引领作用，过去“能力强的教师机会多，能力差的教师远远躲”，现在教师在相互的学习中，激发了潜在的能力，加强自身学习成为了教师的自觉行为，别人的事变成自己的事，更重要的是在“一课多研”中学会了寻找差距，学会了反思，找到了教师人人学习的动力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如果说：“一课多研”是展开教师互相之间的学习竞赛，那“专题研讨”就是体现了班与班之间进行的竞赛，如五大领域或薄学科方面的研讨，充分发挥了各班级教师之间的合作力量。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2021-06-15T12:27:00Z</dcterms:created>
  <dc:creator>xb21cn</dc:creator>
  <cp:lastModifiedBy>yy的 iPhone (2)</cp:lastModifiedBy>
  <dcterms:modified xsi:type="dcterms:W3CDTF">2021-06-15T12:41:20Z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6C918589D10DC550142EC8605C034126</vt:lpwstr>
  </property>
  <property fmtid="{D5CDD505-2E9C-101B-9397-08002B2CF9AE}" pid="3" name="KSOProductBuildVer">
    <vt:lpwstr>2052-11.10.0</vt:lpwstr>
  </property>
</Properties>
</file>