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56" w:line="360" w:lineRule="auto"/>
        <w:jc w:val="center"/>
        <w:rPr>
          <w:rFonts w:ascii="SimSun" w:cs="SimSun" w:hAnsi="SimSun" w:eastAsia="SimSun"/>
          <w:sz w:val="44"/>
          <w:szCs w:val="44"/>
          <w:lang w:val="zh-TW" w:eastAsia="zh-TW"/>
        </w:rPr>
      </w:pPr>
      <w:r>
        <w:rPr>
          <w:rFonts w:eastAsia="Arial Unicode MS" w:hint="eastAsia"/>
          <w:outline w:val="0"/>
          <w:color w:val="000000"/>
          <w:sz w:val="44"/>
          <w:szCs w:val="44"/>
          <w:u w:color="000000"/>
          <w:rtl w:val="0"/>
          <w:lang w:val="zh-TW" w:eastAsia="zh-TW"/>
          <w14:textFill>
            <w14:solidFill>
              <w14:srgbClr w14:val="000000"/>
            </w14:solidFill>
          </w14:textFill>
        </w:rPr>
        <w:t>瓯北</w:t>
      </w:r>
      <w:r>
        <w:rPr>
          <w:rFonts w:eastAsia="Arial Unicode MS" w:hint="eastAsia"/>
          <w:sz w:val="44"/>
          <w:szCs w:val="44"/>
          <w:rtl w:val="0"/>
          <w:lang w:val="zh-TW" w:eastAsia="zh-TW"/>
        </w:rPr>
        <w:t>太阳花幼儿园教</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1146175</wp:posOffset>
                </wp:positionH>
                <wp:positionV relativeFrom="page">
                  <wp:posOffset>1448435</wp:posOffset>
                </wp:positionV>
                <wp:extent cx="5270383" cy="808355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270383" cy="8083550"/>
                        </a:xfrm>
                        <a:prstGeom prst="rect">
                          <a:avLst/>
                        </a:prstGeom>
                      </wps:spPr>
                      <wps:txbx>
                        <w:txbxContent>
                          <w:tbl>
                            <w:tblPr>
                              <w:tblW w:w="8445"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32"/>
                              <w:gridCol w:w="2113"/>
                              <w:gridCol w:w="1980"/>
                              <w:gridCol w:w="2920"/>
                            </w:tblGrid>
                            <w:tr>
                              <w:tblPrEx>
                                <w:shd w:val="clear" w:color="auto" w:fill="d0ddef"/>
                              </w:tblPrEx>
                              <w:trPr>
                                <w:trHeight w:val="608" w:hRule="atLeast"/>
                              </w:trPr>
                              <w:tc>
                                <w:tcPr>
                                  <w:tcW w:type="dxa" w:w="14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eastAsia="Arial Unicode MS" w:hint="eastAsia"/>
                                      <w:sz w:val="28"/>
                                      <w:szCs w:val="28"/>
                                      <w:shd w:val="nil" w:color="auto" w:fill="auto"/>
                                      <w:rtl w:val="0"/>
                                      <w:lang w:val="zh-TW" w:eastAsia="zh-TW"/>
                                    </w:rPr>
                                    <w:t>教师姓名</w:t>
                                  </w:r>
                                </w:p>
                              </w:tc>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360" w:lineRule="auto"/>
                                    <w:ind w:left="0" w:right="0" w:firstLine="0"/>
                                    <w:jc w:val="center"/>
                                    <w:outlineLvl w:val="9"/>
                                    <w:rPr>
                                      <w:rtl w:val="0"/>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shd w:val="nil" w:color="auto" w:fill="auto"/>
                                      <w:vertAlign w:val="baseline"/>
                                      <w:rtl w:val="0"/>
                                      <w14:textOutline>
                                        <w14:noFill/>
                                      </w14:textOutline>
                                      <w14:textFill>
                                        <w14:solidFill>
                                          <w14:srgbClr w14:val="000000"/>
                                        </w14:solidFill>
                                      </w14:textFill>
                                    </w:rPr>
                                    <w:t>朱嘉颖</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eastAsia="Arial Unicode MS" w:hint="eastAsia"/>
                                      <w:sz w:val="28"/>
                                      <w:szCs w:val="28"/>
                                      <w:shd w:val="nil" w:color="auto" w:fill="auto"/>
                                      <w:rtl w:val="0"/>
                                      <w:lang w:val="zh-TW" w:eastAsia="zh-TW"/>
                                    </w:rPr>
                                    <w:t>学习时间</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8"/>
                                      <w:szCs w:val="28"/>
                                      <w:u w:val="none" w:color="000000"/>
                                      <w:shd w:val="nil" w:color="auto" w:fill="auto"/>
                                      <w:vertAlign w:val="baseline"/>
                                      <w:rtl w:val="0"/>
                                      <w14:textOutline>
                                        <w14:noFill/>
                                      </w14:textOutline>
                                      <w14:textFill>
                                        <w14:solidFill>
                                          <w14:srgbClr w14:val="000000"/>
                                        </w14:solidFill>
                                      </w14:textFill>
                                    </w:rPr>
                                    <w:t>2022.4.21</w:t>
                                  </w:r>
                                </w:p>
                              </w:tc>
                            </w:tr>
                            <w:tr>
                              <w:tblPrEx>
                                <w:shd w:val="clear" w:color="auto" w:fill="d0ddef"/>
                              </w:tblPrEx>
                              <w:trPr>
                                <w:trHeight w:val="590" w:hRule="atLeast"/>
                              </w:trPr>
                              <w:tc>
                                <w:tcPr>
                                  <w:tcW w:type="dxa" w:w="14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400" w:lineRule="exact"/>
                                    <w:jc w:val="center"/>
                                  </w:pPr>
                                  <w:r>
                                    <w:rPr>
                                      <w:rFonts w:eastAsia="Arial Unicode MS" w:hint="eastAsia"/>
                                      <w:sz w:val="28"/>
                                      <w:szCs w:val="28"/>
                                      <w:shd w:val="nil" w:color="auto" w:fill="auto"/>
                                      <w:rtl w:val="0"/>
                                      <w:lang w:val="zh-TW" w:eastAsia="zh-TW"/>
                                    </w:rPr>
                                    <w:t>学习内容</w:t>
                                  </w:r>
                                </w:p>
                              </w:tc>
                              <w:tc>
                                <w:tcPr>
                                  <w:tcW w:type="dxa" w:w="701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shd w:val="nil" w:color="auto" w:fill="auto"/>
                                      <w:vertAlign w:val="baseline"/>
                                      <w:rtl w:val="0"/>
                                      <w14:textOutline>
                                        <w14:noFill/>
                                      </w14:textOutline>
                                      <w14:textFill>
                                        <w14:solidFill>
                                          <w14:srgbClr w14:val="000000"/>
                                        </w14:solidFill>
                                      </w14:textFill>
                                    </w:rPr>
                                    <w:t>放手与观察</w:t>
                                  </w:r>
                                </w:p>
                              </w:tc>
                            </w:tr>
                            <w:tr>
                              <w:tblPrEx>
                                <w:shd w:val="clear" w:color="auto" w:fill="d0ddef"/>
                              </w:tblPrEx>
                              <w:trPr>
                                <w:trHeight w:val="11042" w:hRule="atLeast"/>
                              </w:trPr>
                              <w:tc>
                                <w:tcPr>
                                  <w:tcW w:type="dxa" w:w="844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left"/>
                                    <w:rPr>
                                      <w:rFonts w:ascii="SimSun" w:cs="SimSun" w:hAnsi="SimSun" w:eastAsia="SimSun"/>
                                      <w:sz w:val="24"/>
                                      <w:szCs w:val="24"/>
                                      <w:shd w:val="nil" w:color="auto" w:fill="auto"/>
                                      <w:lang w:val="zh-TW" w:eastAsia="zh-TW"/>
                                    </w:rPr>
                                  </w:pPr>
                                </w:p>
                                <w:p>
                                  <w:pPr>
                                    <w:pStyle w:val="Normal.0"/>
                                    <w:spacing w:line="360" w:lineRule="auto"/>
                                    <w:jc w:val="center"/>
                                    <w:rPr>
                                      <w:rFonts w:ascii="SimSun" w:cs="SimSun" w:hAnsi="SimSun" w:eastAsia="SimSun"/>
                                      <w:sz w:val="24"/>
                                      <w:szCs w:val="24"/>
                                      <w:shd w:val="nil" w:color="auto" w:fill="auto"/>
                                      <w:lang w:val="zh-TW" w:eastAsia="zh-TW"/>
                                    </w:rPr>
                                  </w:pPr>
                                </w:p>
                                <w:p>
                                  <w:pPr>
                                    <w:pStyle w:val="Normal.0"/>
                                    <w:spacing w:line="360" w:lineRule="auto"/>
                                    <w:rPr>
                                      <w:rFonts w:ascii="SimSun" w:cs="SimSun" w:hAnsi="SimSun" w:eastAsia="SimSun"/>
                                      <w:sz w:val="24"/>
                                      <w:szCs w:val="24"/>
                                      <w:shd w:val="nil" w:color="auto" w:fill="auto"/>
                                      <w:lang w:val="zh-TW" w:eastAsia="zh-TW"/>
                                    </w:rPr>
                                  </w:pPr>
                                  <w:r>
                                    <w:rPr>
                                      <w:rFonts w:eastAsia="Arial Unicode MS" w:hint="eastAsia"/>
                                      <w:sz w:val="24"/>
                                      <w:szCs w:val="24"/>
                                      <w:shd w:val="nil" w:color="auto" w:fill="auto"/>
                                      <w:rtl w:val="0"/>
                                      <w:lang w:val="zh-TW" w:eastAsia="zh-TW"/>
                                    </w:rPr>
                                    <w:t>教师在放手游戏的最初阶段，都会有焦虑和担忧，可是一旦真的放手后，会发现相比我们目标导向的活动，游戏中的孩子更能干，我们希望孩子获得的能力发展，以及希望了解的儿童发展水平，都能够通过观察孩子的游戏过程而得到。</w:t>
                                  </w:r>
                                </w:p>
                                <w:p>
                                  <w:pPr>
                                    <w:pStyle w:val="Normal.0"/>
                                    <w:spacing w:line="360" w:lineRule="auto"/>
                                    <w:rPr>
                                      <w:rFonts w:ascii="SimSun" w:cs="SimSun" w:hAnsi="SimSun" w:eastAsia="SimSun"/>
                                      <w:sz w:val="24"/>
                                      <w:szCs w:val="24"/>
                                      <w:shd w:val="nil" w:color="auto" w:fill="auto"/>
                                      <w:lang w:val="zh-TW" w:eastAsia="zh-TW"/>
                                    </w:rPr>
                                  </w:pPr>
                                  <w:r>
                                    <w:rPr>
                                      <w:rFonts w:eastAsia="Arial Unicode MS" w:hint="eastAsia"/>
                                      <w:sz w:val="24"/>
                                      <w:szCs w:val="24"/>
                                      <w:shd w:val="nil" w:color="auto" w:fill="auto"/>
                                      <w:rtl w:val="0"/>
                                      <w:lang w:val="zh-TW" w:eastAsia="zh-TW"/>
                                    </w:rPr>
                                    <w:t>再次，游戏意味着发展适宜性教育的可能性。放手游戏决不是放任游戏，它需要教师耐心观察儿童的行为，认真倾听儿童的声音，分析儿童行为所蕴含的发展。当教师能够真正看懂孩子的自主游戏时，生成教学就变得不难了，教师能从游戏中找到儿童学习与发展的证据，以及依学而教的依据。同时，游戏不是玩玩就算，教师需要有策略引导孩子进行分析与反思，引导儿童</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从做到思</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，推动儿童实现</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从行动到思维</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w:t>
                                  </w:r>
                                </w:p>
                                <w:p>
                                  <w:pPr>
                                    <w:pStyle w:val="Normal.0"/>
                                    <w:spacing w:line="360" w:lineRule="auto"/>
                                    <w:rPr>
                                      <w:rFonts w:ascii="SimSun" w:cs="SimSun" w:hAnsi="SimSun" w:eastAsia="SimSun"/>
                                      <w:sz w:val="24"/>
                                      <w:szCs w:val="24"/>
                                      <w:shd w:val="nil" w:color="auto" w:fill="auto"/>
                                      <w:lang w:val="zh-TW" w:eastAsia="zh-TW"/>
                                    </w:rPr>
                                  </w:pPr>
                                  <w:r>
                                    <w:rPr>
                                      <w:rFonts w:eastAsia="Arial Unicode MS" w:hint="eastAsia"/>
                                      <w:sz w:val="24"/>
                                      <w:szCs w:val="24"/>
                                      <w:shd w:val="nil" w:color="auto" w:fill="auto"/>
                                      <w:rtl w:val="0"/>
                                      <w:lang w:val="zh-TW" w:eastAsia="zh-TW"/>
                                    </w:rPr>
                                    <w:t>在过去的游戏中，教师往往会严格把控安全关。不仅投放的材料挑战系数不高，设计的游戏也不敢触及到</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冒险</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的范畴，甚至有些幼儿园会拉长室内活动时间，缩短户外游戏时间，来尽量避免因空间变大而带来的不可控性。只有在早操和体育课时才会将儿童带到户外区域中去。教师在这个时候则绷紧神经，为儿童排除任何可能存在的危险。但是在放手游戏时，儿童经常会在游戏中挑战自己，去做一些冒险事情。当这样的情况出现时，教师会紧张和焦虑：教师到底管不管呢？儿童会不会保护自己？这些紧张和焦虑源自教师还没有发现儿童的自我保护能力。因此，需要教师们带着这些问题去观察儿童在游戏中如何在冒险和挑战的同时，去规避危险的发生。</w:t>
                                  </w:r>
                                </w:p>
                                <w:p>
                                  <w:pPr>
                                    <w:pStyle w:val="Normal.0"/>
                                    <w:spacing w:line="360" w:lineRule="auto"/>
                                  </w:pPr>
                                  <w:r>
                                    <w:rPr>
                                      <w:rFonts w:eastAsia="Arial Unicode MS" w:hint="eastAsia"/>
                                      <w:sz w:val="24"/>
                                      <w:szCs w:val="24"/>
                                      <w:shd w:val="nil" w:color="auto" w:fill="auto"/>
                                      <w:rtl w:val="0"/>
                                      <w:lang w:val="zh-TW" w:eastAsia="zh-TW"/>
                                    </w:rPr>
                                    <w:t xml:space="preserve"> 在持续完整的观察之后，教师发现儿童并没有教师想象的那么鲁莽。他们会自主判断游戏的危险程度来掌控游戏，不仅会保护自己，而且还会保护同伴。冒险不等于危险。儿童在游戏中冒险是为了寻求刺激，同时也挑战自己的能力极限。从中得到最大程度的发展。</w:t>
                                  </w:r>
                                </w:p>
                              </w:tc>
                            </w:tr>
                          </w:tbl>
                        </w:txbxContent>
                      </wps:txbx>
                      <wps:bodyPr lIns="0" tIns="0" rIns="0" bIns="0">
                        <a:spAutoFit/>
                      </wps:bodyPr>
                    </wps:wsp>
                  </a:graphicData>
                </a:graphic>
              </wp:anchor>
            </w:drawing>
          </mc:Choice>
          <mc:Fallback>
            <w:pict>
              <v:shape id="_x0000_s1026" type="#_x0000_t202" style="visibility:visible;position:absolute;margin-left:90.2pt;margin-top:114.1pt;width:415.0pt;height:636.5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8445"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32"/>
                        <w:gridCol w:w="2113"/>
                        <w:gridCol w:w="1980"/>
                        <w:gridCol w:w="2920"/>
                      </w:tblGrid>
                      <w:tr>
                        <w:tblPrEx>
                          <w:shd w:val="clear" w:color="auto" w:fill="d0ddef"/>
                        </w:tblPrEx>
                        <w:trPr>
                          <w:trHeight w:val="608" w:hRule="atLeast"/>
                        </w:trPr>
                        <w:tc>
                          <w:tcPr>
                            <w:tcW w:type="dxa" w:w="14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eastAsia="Arial Unicode MS" w:hint="eastAsia"/>
                                <w:sz w:val="28"/>
                                <w:szCs w:val="28"/>
                                <w:shd w:val="nil" w:color="auto" w:fill="auto"/>
                                <w:rtl w:val="0"/>
                                <w:lang w:val="zh-TW" w:eastAsia="zh-TW"/>
                              </w:rPr>
                              <w:t>教师姓名</w:t>
                            </w:r>
                          </w:p>
                        </w:tc>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360" w:lineRule="auto"/>
                              <w:ind w:left="0" w:right="0" w:firstLine="0"/>
                              <w:jc w:val="center"/>
                              <w:outlineLvl w:val="9"/>
                              <w:rPr>
                                <w:rtl w:val="0"/>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shd w:val="nil" w:color="auto" w:fill="auto"/>
                                <w:vertAlign w:val="baseline"/>
                                <w:rtl w:val="0"/>
                                <w14:textOutline>
                                  <w14:noFill/>
                                </w14:textOutline>
                                <w14:textFill>
                                  <w14:solidFill>
                                    <w14:srgbClr w14:val="000000"/>
                                  </w14:solidFill>
                                </w14:textFill>
                              </w:rPr>
                              <w:t>朱嘉颖</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eastAsia="Arial Unicode MS" w:hint="eastAsia"/>
                                <w:sz w:val="28"/>
                                <w:szCs w:val="28"/>
                                <w:shd w:val="nil" w:color="auto" w:fill="auto"/>
                                <w:rtl w:val="0"/>
                                <w:lang w:val="zh-TW" w:eastAsia="zh-TW"/>
                              </w:rPr>
                              <w:t>学习时间</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8"/>
                                <w:szCs w:val="28"/>
                                <w:u w:val="none" w:color="000000"/>
                                <w:shd w:val="nil" w:color="auto" w:fill="auto"/>
                                <w:vertAlign w:val="baseline"/>
                                <w:rtl w:val="0"/>
                                <w14:textOutline>
                                  <w14:noFill/>
                                </w14:textOutline>
                                <w14:textFill>
                                  <w14:solidFill>
                                    <w14:srgbClr w14:val="000000"/>
                                  </w14:solidFill>
                                </w14:textFill>
                              </w:rPr>
                              <w:t>2022.4.21</w:t>
                            </w:r>
                          </w:p>
                        </w:tc>
                      </w:tr>
                      <w:tr>
                        <w:tblPrEx>
                          <w:shd w:val="clear" w:color="auto" w:fill="d0ddef"/>
                        </w:tblPrEx>
                        <w:trPr>
                          <w:trHeight w:val="590" w:hRule="atLeast"/>
                        </w:trPr>
                        <w:tc>
                          <w:tcPr>
                            <w:tcW w:type="dxa" w:w="14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400" w:lineRule="exact"/>
                              <w:jc w:val="center"/>
                            </w:pPr>
                            <w:r>
                              <w:rPr>
                                <w:rFonts w:eastAsia="Arial Unicode MS" w:hint="eastAsia"/>
                                <w:sz w:val="28"/>
                                <w:szCs w:val="28"/>
                                <w:shd w:val="nil" w:color="auto" w:fill="auto"/>
                                <w:rtl w:val="0"/>
                                <w:lang w:val="zh-TW" w:eastAsia="zh-TW"/>
                              </w:rPr>
                              <w:t>学习内容</w:t>
                            </w:r>
                          </w:p>
                        </w:tc>
                        <w:tc>
                          <w:tcPr>
                            <w:tcW w:type="dxa" w:w="701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shd w:val="nil" w:color="auto" w:fill="auto"/>
                                <w:vertAlign w:val="baseline"/>
                                <w:rtl w:val="0"/>
                                <w14:textOutline>
                                  <w14:noFill/>
                                </w14:textOutline>
                                <w14:textFill>
                                  <w14:solidFill>
                                    <w14:srgbClr w14:val="000000"/>
                                  </w14:solidFill>
                                </w14:textFill>
                              </w:rPr>
                              <w:t>放手与观察</w:t>
                            </w:r>
                          </w:p>
                        </w:tc>
                      </w:tr>
                      <w:tr>
                        <w:tblPrEx>
                          <w:shd w:val="clear" w:color="auto" w:fill="d0ddef"/>
                        </w:tblPrEx>
                        <w:trPr>
                          <w:trHeight w:val="11042" w:hRule="atLeast"/>
                        </w:trPr>
                        <w:tc>
                          <w:tcPr>
                            <w:tcW w:type="dxa" w:w="844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left"/>
                              <w:rPr>
                                <w:rFonts w:ascii="SimSun" w:cs="SimSun" w:hAnsi="SimSun" w:eastAsia="SimSun"/>
                                <w:sz w:val="24"/>
                                <w:szCs w:val="24"/>
                                <w:shd w:val="nil" w:color="auto" w:fill="auto"/>
                                <w:lang w:val="zh-TW" w:eastAsia="zh-TW"/>
                              </w:rPr>
                            </w:pPr>
                          </w:p>
                          <w:p>
                            <w:pPr>
                              <w:pStyle w:val="Normal.0"/>
                              <w:spacing w:line="360" w:lineRule="auto"/>
                              <w:jc w:val="center"/>
                              <w:rPr>
                                <w:rFonts w:ascii="SimSun" w:cs="SimSun" w:hAnsi="SimSun" w:eastAsia="SimSun"/>
                                <w:sz w:val="24"/>
                                <w:szCs w:val="24"/>
                                <w:shd w:val="nil" w:color="auto" w:fill="auto"/>
                                <w:lang w:val="zh-TW" w:eastAsia="zh-TW"/>
                              </w:rPr>
                            </w:pPr>
                          </w:p>
                          <w:p>
                            <w:pPr>
                              <w:pStyle w:val="Normal.0"/>
                              <w:spacing w:line="360" w:lineRule="auto"/>
                              <w:rPr>
                                <w:rFonts w:ascii="SimSun" w:cs="SimSun" w:hAnsi="SimSun" w:eastAsia="SimSun"/>
                                <w:sz w:val="24"/>
                                <w:szCs w:val="24"/>
                                <w:shd w:val="nil" w:color="auto" w:fill="auto"/>
                                <w:lang w:val="zh-TW" w:eastAsia="zh-TW"/>
                              </w:rPr>
                            </w:pPr>
                            <w:r>
                              <w:rPr>
                                <w:rFonts w:eastAsia="Arial Unicode MS" w:hint="eastAsia"/>
                                <w:sz w:val="24"/>
                                <w:szCs w:val="24"/>
                                <w:shd w:val="nil" w:color="auto" w:fill="auto"/>
                                <w:rtl w:val="0"/>
                                <w:lang w:val="zh-TW" w:eastAsia="zh-TW"/>
                              </w:rPr>
                              <w:t>教师在放手游戏的最初阶段，都会有焦虑和担忧，可是一旦真的放手后，会发现相比我们目标导向的活动，游戏中的孩子更能干，我们希望孩子获得的能力发展，以及希望了解的儿童发展水平，都能够通过观察孩子的游戏过程而得到。</w:t>
                            </w:r>
                          </w:p>
                          <w:p>
                            <w:pPr>
                              <w:pStyle w:val="Normal.0"/>
                              <w:spacing w:line="360" w:lineRule="auto"/>
                              <w:rPr>
                                <w:rFonts w:ascii="SimSun" w:cs="SimSun" w:hAnsi="SimSun" w:eastAsia="SimSun"/>
                                <w:sz w:val="24"/>
                                <w:szCs w:val="24"/>
                                <w:shd w:val="nil" w:color="auto" w:fill="auto"/>
                                <w:lang w:val="zh-TW" w:eastAsia="zh-TW"/>
                              </w:rPr>
                            </w:pPr>
                            <w:r>
                              <w:rPr>
                                <w:rFonts w:eastAsia="Arial Unicode MS" w:hint="eastAsia"/>
                                <w:sz w:val="24"/>
                                <w:szCs w:val="24"/>
                                <w:shd w:val="nil" w:color="auto" w:fill="auto"/>
                                <w:rtl w:val="0"/>
                                <w:lang w:val="zh-TW" w:eastAsia="zh-TW"/>
                              </w:rPr>
                              <w:t>再次，游戏意味着发展适宜性教育的可能性。放手游戏决不是放任游戏，它需要教师耐心观察儿童的行为，认真倾听儿童的声音，分析儿童行为所蕴含的发展。当教师能够真正看懂孩子的自主游戏时，生成教学就变得不难了，教师能从游戏中找到儿童学习与发展的证据，以及依学而教的依据。同时，游戏不是玩玩就算，教师需要有策略引导孩子进行分析与反思，引导儿童</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从做到思</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，推动儿童实现</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从行动到思维</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w:t>
                            </w:r>
                          </w:p>
                          <w:p>
                            <w:pPr>
                              <w:pStyle w:val="Normal.0"/>
                              <w:spacing w:line="360" w:lineRule="auto"/>
                              <w:rPr>
                                <w:rFonts w:ascii="SimSun" w:cs="SimSun" w:hAnsi="SimSun" w:eastAsia="SimSun"/>
                                <w:sz w:val="24"/>
                                <w:szCs w:val="24"/>
                                <w:shd w:val="nil" w:color="auto" w:fill="auto"/>
                                <w:lang w:val="zh-TW" w:eastAsia="zh-TW"/>
                              </w:rPr>
                            </w:pPr>
                            <w:r>
                              <w:rPr>
                                <w:rFonts w:eastAsia="Arial Unicode MS" w:hint="eastAsia"/>
                                <w:sz w:val="24"/>
                                <w:szCs w:val="24"/>
                                <w:shd w:val="nil" w:color="auto" w:fill="auto"/>
                                <w:rtl w:val="0"/>
                                <w:lang w:val="zh-TW" w:eastAsia="zh-TW"/>
                              </w:rPr>
                              <w:t>在过去的游戏中，教师往往会严格把控安全关。不仅投放的材料挑战系数不高，设计的游戏也不敢触及到</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冒险</w:t>
                            </w:r>
                            <w:r>
                              <w:rPr>
                                <w:rFonts w:ascii="SimSun" w:hAnsi="SimSun" w:hint="default"/>
                                <w:sz w:val="24"/>
                                <w:szCs w:val="24"/>
                                <w:shd w:val="nil" w:color="auto" w:fill="auto"/>
                                <w:rtl w:val="0"/>
                                <w:lang w:val="zh-TW" w:eastAsia="zh-TW"/>
                              </w:rPr>
                              <w:t>”</w:t>
                            </w:r>
                            <w:r>
                              <w:rPr>
                                <w:rFonts w:eastAsia="Arial Unicode MS" w:hint="eastAsia"/>
                                <w:sz w:val="24"/>
                                <w:szCs w:val="24"/>
                                <w:shd w:val="nil" w:color="auto" w:fill="auto"/>
                                <w:rtl w:val="0"/>
                                <w:lang w:val="zh-TW" w:eastAsia="zh-TW"/>
                              </w:rPr>
                              <w:t>的范畴，甚至有些幼儿园会拉长室内活动时间，缩短户外游戏时间，来尽量避免因空间变大而带来的不可控性。只有在早操和体育课时才会将儿童带到户外区域中去。教师在这个时候则绷紧神经，为儿童排除任何可能存在的危险。但是在放手游戏时，儿童经常会在游戏中挑战自己，去做一些冒险事情。当这样的情况出现时，教师会紧张和焦虑：教师到底管不管呢？儿童会不会保护自己？这些紧张和焦虑源自教师还没有发现儿童的自我保护能力。因此，需要教师们带着这些问题去观察儿童在游戏中如何在冒险和挑战的同时，去规避危险的发生。</w:t>
                            </w:r>
                          </w:p>
                          <w:p>
                            <w:pPr>
                              <w:pStyle w:val="Normal.0"/>
                              <w:spacing w:line="360" w:lineRule="auto"/>
                            </w:pPr>
                            <w:r>
                              <w:rPr>
                                <w:rFonts w:eastAsia="Arial Unicode MS" w:hint="eastAsia"/>
                                <w:sz w:val="24"/>
                                <w:szCs w:val="24"/>
                                <w:shd w:val="nil" w:color="auto" w:fill="auto"/>
                                <w:rtl w:val="0"/>
                                <w:lang w:val="zh-TW" w:eastAsia="zh-TW"/>
                              </w:rPr>
                              <w:t xml:space="preserve"> 在持续完整的观察之后，教师发现儿童并没有教师想象的那么鲁莽。他们会自主判断游戏的危险程度来掌控游戏，不仅会保护自己，而且还会保护同伴。冒险不等于危险。儿童在游戏中冒险是为了寻求刺激，同时也挑战自己的能力极限。从中得到最大程度的发展。</w:t>
                            </w:r>
                          </w:p>
                        </w:tc>
                      </w:tr>
                    </w:tbl>
                  </w:txbxContent>
                </v:textbox>
                <w10:wrap type="topAndBottom" side="bothSides" anchorx="page" anchory="page"/>
              </v:shape>
            </w:pict>
          </mc:Fallback>
        </mc:AlternateContent>
      </w:r>
      <w:r>
        <w:rPr>
          <w:rFonts w:eastAsia="Arial Unicode MS" w:hint="eastAsia"/>
          <w:sz w:val="44"/>
          <w:szCs w:val="44"/>
          <w:rtl w:val="0"/>
          <w:lang w:val="zh-TW" w:eastAsia="zh-TW"/>
        </w:rPr>
        <w:t>师学习心得记录表</w:t>
      </w:r>
    </w:p>
    <w:p>
      <w:pPr>
        <w:pStyle w:val="Normal.0"/>
        <w:spacing w:before="156"/>
        <w:jc w:val="center"/>
      </w:pPr>
      <w:r>
        <w:rPr>
          <w:rFonts w:ascii="SimSun" w:cs="SimSun" w:hAnsi="SimSun" w:eastAsia="SimSun"/>
          <w:sz w:val="44"/>
          <w:szCs w:val="44"/>
          <w:lang w:val="zh-TW" w:eastAsia="zh-TW"/>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SimSu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